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 w:val="0"/>
        <w:spacing w:before="0" w:after="0" w:line="600" w:lineRule="exact"/>
        <w:ind w:left="1078" w:right="0" w:hanging="1078"/>
        <w:jc w:val="both"/>
        <w:rPr>
          <w:rFonts w:hint="default" w:ascii="Times New Roman" w:hAnsi="黑体" w:eastAsia="黑体"/>
          <w:color w:val="auto"/>
          <w:position w:val="0"/>
          <w:sz w:val="32"/>
          <w:szCs w:val="32"/>
        </w:rPr>
      </w:pPr>
      <w:r>
        <w:rPr>
          <w:rFonts w:hint="default" w:ascii="Times New Roman" w:hAnsi="黑体" w:eastAsia="黑体"/>
          <w:color w:val="auto"/>
          <w:position w:val="0"/>
          <w:sz w:val="32"/>
          <w:szCs w:val="32"/>
        </w:rPr>
        <w:t>附件6</w:t>
      </w:r>
    </w:p>
    <w:p>
      <w:pPr>
        <w:numPr>
          <w:ilvl w:val="0"/>
          <w:numId w:val="0"/>
        </w:numPr>
        <w:wordWrap w:val="0"/>
        <w:spacing w:before="0" w:after="0" w:line="600" w:lineRule="exact"/>
        <w:ind w:right="0"/>
        <w:jc w:val="center"/>
        <w:rPr>
          <w:rFonts w:hint="eastAsia" w:ascii="Times New Roman" w:hAnsi="方正小标宋简体" w:eastAsia="方正小标宋简体"/>
          <w:color w:val="auto"/>
          <w:positio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方正小标宋简体" w:eastAsia="方正小标宋简体"/>
          <w:color w:val="auto"/>
          <w:position w:val="0"/>
          <w:sz w:val="36"/>
          <w:szCs w:val="36"/>
        </w:rPr>
        <w:t>监理工程师职业资格考试各科目设置</w:t>
      </w:r>
      <w:r>
        <w:rPr>
          <w:rFonts w:hint="eastAsia" w:ascii="Times New Roman" w:hAnsi="方正小标宋简体" w:eastAsia="方正小标宋简体"/>
          <w:color w:val="auto"/>
          <w:position w:val="0"/>
          <w:sz w:val="36"/>
          <w:szCs w:val="36"/>
          <w:lang w:val="en-US" w:eastAsia="zh-CN"/>
        </w:rPr>
        <w:t>表</w:t>
      </w:r>
    </w:p>
    <w:p>
      <w:pPr>
        <w:numPr>
          <w:ilvl w:val="0"/>
          <w:numId w:val="0"/>
        </w:numPr>
        <w:wordWrap w:val="0"/>
        <w:spacing w:before="0" w:after="0" w:line="600" w:lineRule="exact"/>
        <w:ind w:left="955" w:right="0" w:firstLine="0"/>
        <w:jc w:val="both"/>
        <w:rPr>
          <w:rFonts w:hint="default" w:ascii="Times New Roman" w:hAnsi="方正小标宋简体" w:eastAsia="方正小标宋简体"/>
          <w:color w:val="auto"/>
          <w:position w:val="0"/>
          <w:sz w:val="30"/>
          <w:szCs w:val="30"/>
        </w:rPr>
      </w:pPr>
    </w:p>
    <w:tbl>
      <w:tblPr>
        <w:tblStyle w:val="23"/>
        <w:tblpPr w:leftFromText="180" w:rightFromText="180" w:vertAnchor="text" w:horzAnchor="margin" w:tblpX="319" w:tblpY="35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627"/>
        <w:gridCol w:w="1627"/>
        <w:gridCol w:w="1651"/>
        <w:gridCol w:w="1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651" w:type="dxa"/>
            <w:tcBorders>
              <w:tl2br w:val="single" w:color="auto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  <w:t xml:space="preserve">      科目</w:t>
            </w:r>
          </w:p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both"/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  <w:t xml:space="preserve">       名称</w:t>
            </w:r>
          </w:p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both"/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both"/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  <w:t>项目</w:t>
            </w:r>
          </w:p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both"/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  <w:t>名称</w:t>
            </w:r>
          </w:p>
        </w:tc>
        <w:tc>
          <w:tcPr>
            <w:tcW w:w="1627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contextualSpacing/>
              <w:jc w:val="center"/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  <w:t>建设工程</w:t>
            </w:r>
          </w:p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contextualSpacing/>
              <w:jc w:val="center"/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  <w:t>合同管理</w:t>
            </w:r>
          </w:p>
        </w:tc>
        <w:tc>
          <w:tcPr>
            <w:tcW w:w="1627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contextualSpacing/>
              <w:jc w:val="center"/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contextualSpacing/>
              <w:jc w:val="center"/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  <w:t>建设工程</w:t>
            </w:r>
          </w:p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contextualSpacing/>
              <w:jc w:val="center"/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  <w:t>目标控制 （土木建筑工程、交通运输工程、水利工程）</w:t>
            </w:r>
          </w:p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contextualSpacing/>
              <w:jc w:val="center"/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651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contextualSpacing/>
              <w:jc w:val="center"/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  <w:t>建设工程监理基本理论和相关法规</w:t>
            </w:r>
          </w:p>
        </w:tc>
        <w:tc>
          <w:tcPr>
            <w:tcW w:w="1651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contextualSpacing/>
              <w:jc w:val="center"/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黑体" w:eastAsia="黑体"/>
                <w:color w:val="auto"/>
                <w:position w:val="0"/>
                <w:sz w:val="24"/>
                <w:szCs w:val="24"/>
              </w:rPr>
              <w:t>建设工程监理案例分析（土木建筑工程、交通运输工程、水利工程）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考试时间</w:t>
            </w:r>
          </w:p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（分钟）</w:t>
            </w:r>
          </w:p>
        </w:tc>
        <w:tc>
          <w:tcPr>
            <w:tcW w:w="1627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120</w:t>
            </w:r>
          </w:p>
        </w:tc>
        <w:tc>
          <w:tcPr>
            <w:tcW w:w="1627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180</w:t>
            </w:r>
          </w:p>
        </w:tc>
        <w:tc>
          <w:tcPr>
            <w:tcW w:w="1651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120</w:t>
            </w:r>
          </w:p>
        </w:tc>
        <w:tc>
          <w:tcPr>
            <w:tcW w:w="1651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51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满分</w:t>
            </w:r>
          </w:p>
        </w:tc>
        <w:tc>
          <w:tcPr>
            <w:tcW w:w="1627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110</w:t>
            </w:r>
          </w:p>
        </w:tc>
        <w:tc>
          <w:tcPr>
            <w:tcW w:w="1627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160</w:t>
            </w:r>
          </w:p>
        </w:tc>
        <w:tc>
          <w:tcPr>
            <w:tcW w:w="1651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110</w:t>
            </w:r>
          </w:p>
        </w:tc>
        <w:tc>
          <w:tcPr>
            <w:tcW w:w="1651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651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试题类型</w:t>
            </w:r>
          </w:p>
        </w:tc>
        <w:tc>
          <w:tcPr>
            <w:tcW w:w="1627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单选题</w:t>
            </w:r>
          </w:p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多选题</w:t>
            </w:r>
          </w:p>
        </w:tc>
        <w:tc>
          <w:tcPr>
            <w:tcW w:w="1627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单选题</w:t>
            </w:r>
          </w:p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多选题</w:t>
            </w:r>
          </w:p>
        </w:tc>
        <w:tc>
          <w:tcPr>
            <w:tcW w:w="1651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单选题</w:t>
            </w:r>
          </w:p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多选题</w:t>
            </w:r>
          </w:p>
        </w:tc>
        <w:tc>
          <w:tcPr>
            <w:tcW w:w="1651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600" w:lineRule="exact"/>
              <w:ind w:right="0" w:firstLine="0"/>
              <w:jc w:val="center"/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Times New Roman" w:hAnsi="仿宋" w:eastAsia="仿宋"/>
                <w:color w:val="auto"/>
                <w:position w:val="0"/>
                <w:sz w:val="28"/>
                <w:szCs w:val="28"/>
              </w:rPr>
              <w:t>综合分析</w:t>
            </w:r>
          </w:p>
        </w:tc>
      </w:tr>
    </w:tbl>
    <w:p>
      <w:pPr>
        <w:numPr>
          <w:ilvl w:val="0"/>
          <w:numId w:val="0"/>
        </w:numPr>
        <w:wordWrap w:val="0"/>
        <w:spacing w:before="0" w:after="0" w:line="600" w:lineRule="exact"/>
        <w:ind w:left="963" w:right="0" w:hanging="944"/>
        <w:contextualSpacing/>
        <w:jc w:val="both"/>
        <w:rPr>
          <w:rFonts w:hint="default" w:ascii="Times New Roman" w:hAnsi="仿宋" w:eastAsia="仿宋"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wordWrap w:val="0"/>
        <w:spacing w:before="0" w:after="0" w:line="600" w:lineRule="exact"/>
        <w:ind w:left="1078" w:right="0" w:hanging="1078"/>
        <w:jc w:val="both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sectPr>
      <w:footnotePr>
        <w:numFmt w:val="decimal"/>
      </w:footnotePr>
      <w:pgSz w:w="11906" w:h="16838"/>
      <w:pgMar w:top="1701" w:right="1440" w:bottom="1440" w:left="1440" w:header="708" w:footer="708" w:gutter="0"/>
      <w:pgNumType w:fmt="decimal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方正小标宋简体">
    <w:altName w:val="Arial Unicode MS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41843A4A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153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jc w:val="both"/>
    </w:pPr>
    <w:rPr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jc w:val="both"/>
    </w:pPr>
    <w:rPr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ind w:left="1000" w:hanging="400"/>
      <w:jc w:val="both"/>
    </w:pPr>
    <w:rPr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ind w:left="1200" w:hanging="400"/>
      <w:jc w:val="both"/>
    </w:pPr>
    <w:rPr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ind w:left="1400" w:hanging="400"/>
      <w:jc w:val="both"/>
    </w:pPr>
    <w:rPr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ind w:left="1600" w:hanging="400"/>
      <w:jc w:val="both"/>
    </w:pPr>
    <w:rPr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ind w:left="1800" w:hanging="400"/>
      <w:jc w:val="both"/>
    </w:pPr>
    <w:rPr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ind w:left="2000" w:hanging="400"/>
      <w:jc w:val="both"/>
    </w:pPr>
    <w:rPr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ind w:left="2200" w:hanging="400"/>
      <w:jc w:val="both"/>
    </w:pPr>
    <w:rPr>
      <w:w w:val="100"/>
      <w:sz w:val="21"/>
      <w:szCs w:val="21"/>
      <w:shd w:val="clear"/>
    </w:rPr>
  </w:style>
  <w:style w:type="character" w:default="1" w:styleId="24">
    <w:name w:val="Default Paragraph Font"/>
    <w:semiHidden/>
    <w:unhideWhenUsed/>
    <w:qFormat/>
    <w:uiPriority w:val="2"/>
    <w:rPr>
      <w:w w:val="100"/>
      <w:sz w:val="21"/>
      <w:szCs w:val="21"/>
      <w:shd w:val="clear"/>
    </w:rPr>
  </w:style>
  <w:style w:type="table" w:default="1" w:styleId="23">
    <w:name w:val="Normal Table"/>
    <w:semiHidden/>
    <w:unhideWhenUsed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 w:firstLine="0"/>
      <w:jc w:val="both"/>
    </w:pPr>
    <w:rPr>
      <w:w w:val="100"/>
      <w:sz w:val="21"/>
      <w:szCs w:val="21"/>
      <w:shd w:val="clear"/>
    </w:rPr>
  </w:style>
  <w:style w:type="paragraph" w:styleId="12">
    <w:name w:val="Body Text Indent"/>
    <w:basedOn w:val="1"/>
    <w:uiPriority w:val="153"/>
    <w:pPr>
      <w:widowControl/>
      <w:ind w:left="945" w:hanging="945"/>
    </w:pPr>
    <w:rPr>
      <w:rFonts w:ascii="仿宋_GB2312" w:hAnsi="仿宋_GB2312" w:eastAsia="仿宋_GB2312"/>
      <w:w w:val="100"/>
      <w:sz w:val="28"/>
      <w:szCs w:val="28"/>
    </w:rPr>
  </w:style>
  <w:style w:type="paragraph" w:styleId="13">
    <w:name w:val="toc 5"/>
    <w:next w:val="1"/>
    <w:unhideWhenUsed/>
    <w:qFormat/>
    <w:uiPriority w:val="32"/>
    <w:pPr>
      <w:ind w:left="1700" w:firstLine="0"/>
      <w:jc w:val="both"/>
    </w:pPr>
    <w:rPr>
      <w:w w:val="100"/>
      <w:sz w:val="21"/>
      <w:szCs w:val="21"/>
      <w:shd w:val="clear"/>
    </w:rPr>
  </w:style>
  <w:style w:type="paragraph" w:styleId="14">
    <w:name w:val="toc 3"/>
    <w:next w:val="1"/>
    <w:unhideWhenUsed/>
    <w:qFormat/>
    <w:uiPriority w:val="30"/>
    <w:pPr>
      <w:ind w:left="850" w:firstLine="0"/>
      <w:jc w:val="both"/>
    </w:pPr>
    <w:rPr>
      <w:w w:val="100"/>
      <w:sz w:val="21"/>
      <w:szCs w:val="21"/>
      <w:shd w:val="clear"/>
    </w:rPr>
  </w:style>
  <w:style w:type="paragraph" w:styleId="15">
    <w:name w:val="toc 8"/>
    <w:next w:val="1"/>
    <w:unhideWhenUsed/>
    <w:qFormat/>
    <w:uiPriority w:val="35"/>
    <w:pPr>
      <w:ind w:left="2975" w:firstLine="0"/>
      <w:jc w:val="both"/>
    </w:pPr>
    <w:rPr>
      <w:w w:val="100"/>
      <w:sz w:val="21"/>
      <w:szCs w:val="21"/>
      <w:shd w:val="clear"/>
    </w:rPr>
  </w:style>
  <w:style w:type="paragraph" w:styleId="16">
    <w:name w:val="toc 1"/>
    <w:next w:val="1"/>
    <w:unhideWhenUsed/>
    <w:qFormat/>
    <w:uiPriority w:val="28"/>
    <w:pPr>
      <w:jc w:val="both"/>
    </w:pPr>
    <w:rPr>
      <w:w w:val="100"/>
      <w:sz w:val="21"/>
      <w:szCs w:val="21"/>
      <w:shd w:val="clear"/>
    </w:rPr>
  </w:style>
  <w:style w:type="paragraph" w:styleId="17">
    <w:name w:val="toc 4"/>
    <w:next w:val="1"/>
    <w:unhideWhenUsed/>
    <w:qFormat/>
    <w:uiPriority w:val="31"/>
    <w:pPr>
      <w:ind w:left="1275" w:firstLine="0"/>
      <w:jc w:val="both"/>
    </w:pPr>
    <w:rPr>
      <w:w w:val="100"/>
      <w:sz w:val="21"/>
      <w:szCs w:val="21"/>
      <w:shd w:val="clear"/>
    </w:rPr>
  </w:style>
  <w:style w:type="paragraph" w:styleId="18">
    <w:name w:val="Subtitle"/>
    <w:qFormat/>
    <w:uiPriority w:val="16"/>
    <w:pPr>
      <w:jc w:val="center"/>
    </w:pPr>
    <w:rPr>
      <w:w w:val="100"/>
      <w:sz w:val="24"/>
      <w:szCs w:val="24"/>
      <w:shd w:val="clear"/>
    </w:rPr>
  </w:style>
  <w:style w:type="paragraph" w:styleId="19">
    <w:name w:val="toc 6"/>
    <w:next w:val="1"/>
    <w:unhideWhenUsed/>
    <w:qFormat/>
    <w:uiPriority w:val="33"/>
    <w:pPr>
      <w:ind w:left="2125" w:firstLine="0"/>
      <w:jc w:val="both"/>
    </w:pPr>
    <w:rPr>
      <w:w w:val="100"/>
      <w:sz w:val="21"/>
      <w:szCs w:val="21"/>
      <w:shd w:val="clear"/>
    </w:rPr>
  </w:style>
  <w:style w:type="paragraph" w:styleId="20">
    <w:name w:val="toc 2"/>
    <w:next w:val="1"/>
    <w:unhideWhenUsed/>
    <w:qFormat/>
    <w:uiPriority w:val="29"/>
    <w:pPr>
      <w:ind w:left="425" w:firstLine="0"/>
      <w:jc w:val="both"/>
    </w:pPr>
    <w:rPr>
      <w:w w:val="100"/>
      <w:sz w:val="21"/>
      <w:szCs w:val="21"/>
      <w:shd w:val="clear"/>
    </w:rPr>
  </w:style>
  <w:style w:type="paragraph" w:styleId="21">
    <w:name w:val="toc 9"/>
    <w:next w:val="1"/>
    <w:unhideWhenUsed/>
    <w:qFormat/>
    <w:uiPriority w:val="36"/>
    <w:pPr>
      <w:ind w:left="3400" w:firstLine="0"/>
      <w:jc w:val="both"/>
    </w:pPr>
    <w:rPr>
      <w:w w:val="100"/>
      <w:sz w:val="21"/>
      <w:szCs w:val="21"/>
      <w:shd w:val="clear"/>
    </w:rPr>
  </w:style>
  <w:style w:type="paragraph" w:styleId="22">
    <w:name w:val="Title"/>
    <w:qFormat/>
    <w:uiPriority w:val="6"/>
    <w:pPr>
      <w:jc w:val="center"/>
    </w:pPr>
    <w:rPr>
      <w:b/>
      <w:w w:val="100"/>
      <w:sz w:val="32"/>
      <w:szCs w:val="32"/>
      <w:shd w:val="clear"/>
    </w:rPr>
  </w:style>
  <w:style w:type="character" w:styleId="25">
    <w:name w:val="Strong"/>
    <w:qFormat/>
    <w:uiPriority w:val="20"/>
    <w:rPr>
      <w:b/>
      <w:w w:val="100"/>
      <w:sz w:val="21"/>
      <w:szCs w:val="21"/>
      <w:shd w:val="clear"/>
    </w:rPr>
  </w:style>
  <w:style w:type="character" w:styleId="26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7">
    <w:name w:val="No Spacing"/>
    <w:qFormat/>
    <w:uiPriority w:val="5"/>
    <w:pPr>
      <w:jc w:val="both"/>
    </w:pPr>
    <w:rPr>
      <w:w w:val="100"/>
      <w:sz w:val="21"/>
      <w:szCs w:val="21"/>
      <w:shd w:val="clear"/>
    </w:rPr>
  </w:style>
  <w:style w:type="character" w:customStyle="1" w:styleId="28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9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0">
    <w:name w:val="Quote"/>
    <w:qFormat/>
    <w:uiPriority w:val="21"/>
    <w:pPr>
      <w:ind w:left="864" w:right="864" w:firstLine="0"/>
      <w:jc w:val="center"/>
    </w:pPr>
    <w:rPr>
      <w:i/>
      <w:color w:val="404040"/>
      <w:w w:val="100"/>
      <w:sz w:val="21"/>
      <w:szCs w:val="21"/>
      <w:shd w:val="clear"/>
    </w:rPr>
  </w:style>
  <w:style w:type="paragraph" w:styleId="31">
    <w:name w:val="Intense Quote"/>
    <w:qFormat/>
    <w:uiPriority w:val="22"/>
    <w:pPr>
      <w:ind w:left="950" w:right="950" w:firstLine="0"/>
      <w:jc w:val="center"/>
    </w:pPr>
    <w:rPr>
      <w:i/>
      <w:color w:val="5B9BD5"/>
      <w:w w:val="100"/>
      <w:sz w:val="21"/>
      <w:szCs w:val="21"/>
      <w:shd w:val="clear"/>
    </w:rPr>
  </w:style>
  <w:style w:type="character" w:customStyle="1" w:styleId="32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3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4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5">
    <w:name w:val="List Paragraph"/>
    <w:qFormat/>
    <w:uiPriority w:val="26"/>
    <w:pPr>
      <w:ind w:left="850" w:firstLine="0"/>
      <w:jc w:val="both"/>
    </w:pPr>
    <w:rPr>
      <w:w w:val="100"/>
      <w:sz w:val="21"/>
      <w:szCs w:val="21"/>
      <w:shd w:val="clear"/>
    </w:rPr>
  </w:style>
  <w:style w:type="paragraph" w:customStyle="1" w:styleId="36">
    <w:name w:val="TOC Heading"/>
    <w:unhideWhenUsed/>
    <w:qFormat/>
    <w:uiPriority w:val="27"/>
    <w:pPr>
      <w:jc w:val="both"/>
    </w:pPr>
    <w:rPr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2020-07-02T01:33:04Z</dcterms:created>
  <dc:creator>Administrator</dc:creator>
  <cp:lastModifiedBy>巧克力豆</cp:lastModifiedBy>
  <dcterms:modified xsi:type="dcterms:W3CDTF">2020-07-02T01:33:45Z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